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Pr="00E601BE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8E1845">
        <w:rPr>
          <w:b/>
        </w:rPr>
        <w:t>Многоквартирный</w:t>
      </w:r>
      <w:r w:rsidR="000F5D42" w:rsidRPr="008E1845">
        <w:rPr>
          <w:b/>
          <w:sz w:val="17"/>
        </w:rPr>
        <w:t xml:space="preserve"> </w:t>
      </w:r>
      <w:r w:rsidR="000F5D42" w:rsidRPr="008E1845">
        <w:rPr>
          <w:b/>
        </w:rPr>
        <w:t>ж</w:t>
      </w:r>
      <w:r w:rsidRPr="008E1845">
        <w:rPr>
          <w:b/>
        </w:rPr>
        <w:t xml:space="preserve">илой дом </w:t>
      </w:r>
      <w:r w:rsidR="0052609B">
        <w:t xml:space="preserve">по </w:t>
      </w:r>
      <w:r w:rsidR="005771DA">
        <w:t>улице</w:t>
      </w:r>
      <w:r w:rsidRPr="002060E7">
        <w:t xml:space="preserve"> </w:t>
      </w:r>
      <w:r w:rsidR="00CC27BD" w:rsidRPr="002060E7">
        <w:t>Г</w:t>
      </w:r>
      <w:r w:rsidR="005771DA">
        <w:t>еннадия  Донковцева</w:t>
      </w:r>
      <w:r w:rsidR="00CC27BD" w:rsidRPr="002060E7">
        <w:t xml:space="preserve"> </w:t>
      </w:r>
      <w:r w:rsidRPr="002060E7">
        <w:t xml:space="preserve"> д. </w:t>
      </w:r>
      <w:r w:rsidR="00964E86">
        <w:t>5</w:t>
      </w:r>
      <w:r w:rsidR="000179E3">
        <w:t>/</w:t>
      </w:r>
      <w:r w:rsidR="00D959F1">
        <w:t>4</w:t>
      </w:r>
    </w:p>
    <w:p w:rsidR="008A2625" w:rsidRPr="00E601BE" w:rsidRDefault="008A2625" w:rsidP="008E4C7B">
      <w:pPr>
        <w:pStyle w:val="a4"/>
        <w:jc w:val="both"/>
      </w:pPr>
      <w:r w:rsidRPr="008E1845">
        <w:rPr>
          <w:b/>
        </w:rPr>
        <w:t>Здани</w:t>
      </w:r>
      <w:r>
        <w:t xml:space="preserve">е: </w:t>
      </w:r>
      <w:r w:rsidR="00751535" w:rsidRPr="00703ACC">
        <w:t>1</w:t>
      </w:r>
      <w:r w:rsidR="00DC1314">
        <w:t>7</w:t>
      </w:r>
      <w:r w:rsidR="007C127B">
        <w:t>-</w:t>
      </w:r>
      <w:r>
        <w:t xml:space="preserve">ти этажное, </w:t>
      </w:r>
      <w:r w:rsidR="00D959F1">
        <w:t>2</w:t>
      </w:r>
      <w:r w:rsidR="00703ACC">
        <w:t xml:space="preserve"> </w:t>
      </w:r>
      <w:r>
        <w:t>подъезд</w:t>
      </w:r>
      <w:r w:rsidR="00703ACC">
        <w:t>а</w:t>
      </w:r>
      <w:r>
        <w:t xml:space="preserve">, количество квартир </w:t>
      </w:r>
      <w:r w:rsidR="00297BFB" w:rsidRPr="00D959F1">
        <w:t>–</w:t>
      </w:r>
      <w:r w:rsidRPr="00D959F1">
        <w:t xml:space="preserve"> </w:t>
      </w:r>
      <w:r w:rsidR="00D959F1" w:rsidRPr="00D959F1">
        <w:t>3</w:t>
      </w:r>
      <w:r w:rsidR="00D959F1">
        <w:t>29</w:t>
      </w:r>
    </w:p>
    <w:p w:rsidR="00E601BE" w:rsidRPr="00E601BE" w:rsidRDefault="00297BFB" w:rsidP="008E4C7B">
      <w:pPr>
        <w:pStyle w:val="a4"/>
        <w:jc w:val="both"/>
        <w:rPr>
          <w:sz w:val="20"/>
          <w:szCs w:val="20"/>
        </w:rPr>
      </w:pPr>
      <w:r w:rsidRPr="00297BFB">
        <w:rPr>
          <w:b/>
        </w:rPr>
        <w:t>Разрешение</w:t>
      </w:r>
      <w:r>
        <w:rPr>
          <w:b/>
        </w:rPr>
        <w:t xml:space="preserve"> </w:t>
      </w:r>
      <w:r w:rsidRPr="00297BFB">
        <w:rPr>
          <w:b/>
        </w:rPr>
        <w:t>на</w:t>
      </w:r>
      <w:r>
        <w:rPr>
          <w:b/>
        </w:rPr>
        <w:t xml:space="preserve"> </w:t>
      </w:r>
      <w:r w:rsidRPr="00297BFB">
        <w:rPr>
          <w:b/>
        </w:rPr>
        <w:t>ввод объекта в эксплуатацию</w:t>
      </w:r>
      <w:r>
        <w:rPr>
          <w:b/>
        </w:rPr>
        <w:t xml:space="preserve"> </w:t>
      </w:r>
      <w:r w:rsidR="00166241" w:rsidRPr="00166241">
        <w:rPr>
          <w:sz w:val="20"/>
          <w:szCs w:val="20"/>
        </w:rPr>
        <w:t>№</w:t>
      </w:r>
      <w:r w:rsidR="00166241">
        <w:rPr>
          <w:sz w:val="20"/>
          <w:szCs w:val="20"/>
        </w:rPr>
        <w:t xml:space="preserve"> </w:t>
      </w:r>
      <w:r w:rsidR="00703ACC">
        <w:rPr>
          <w:sz w:val="20"/>
          <w:szCs w:val="20"/>
        </w:rPr>
        <w:t>56-301000-</w:t>
      </w:r>
      <w:r w:rsidR="00D959F1">
        <w:rPr>
          <w:sz w:val="20"/>
          <w:szCs w:val="20"/>
        </w:rPr>
        <w:t>558</w:t>
      </w:r>
      <w:r w:rsidR="00703ACC">
        <w:rPr>
          <w:sz w:val="20"/>
          <w:szCs w:val="20"/>
        </w:rPr>
        <w:t>-201</w:t>
      </w:r>
      <w:r w:rsidR="00D959F1">
        <w:rPr>
          <w:sz w:val="20"/>
          <w:szCs w:val="20"/>
        </w:rPr>
        <w:t>6</w:t>
      </w:r>
      <w:r w:rsidR="00703ACC">
        <w:rPr>
          <w:sz w:val="20"/>
          <w:szCs w:val="20"/>
        </w:rPr>
        <w:t>, 56-301000-</w:t>
      </w:r>
      <w:r w:rsidR="00DC1314">
        <w:rPr>
          <w:sz w:val="20"/>
          <w:szCs w:val="20"/>
        </w:rPr>
        <w:t>55</w:t>
      </w:r>
      <w:r w:rsidR="00D959F1">
        <w:rPr>
          <w:sz w:val="20"/>
          <w:szCs w:val="20"/>
        </w:rPr>
        <w:t xml:space="preserve">7-2016 </w:t>
      </w:r>
      <w:r w:rsidR="00E601BE">
        <w:rPr>
          <w:sz w:val="20"/>
          <w:szCs w:val="20"/>
        </w:rPr>
        <w:t xml:space="preserve">от </w:t>
      </w:r>
      <w:r w:rsidR="00D959F1">
        <w:rPr>
          <w:sz w:val="20"/>
          <w:szCs w:val="20"/>
        </w:rPr>
        <w:t>28</w:t>
      </w:r>
      <w:r w:rsidR="00DC1314">
        <w:rPr>
          <w:sz w:val="20"/>
          <w:szCs w:val="20"/>
        </w:rPr>
        <w:t>.0</w:t>
      </w:r>
      <w:r w:rsidR="00D959F1">
        <w:rPr>
          <w:sz w:val="20"/>
          <w:szCs w:val="20"/>
        </w:rPr>
        <w:t>9</w:t>
      </w:r>
      <w:r w:rsidR="000179E3">
        <w:rPr>
          <w:sz w:val="20"/>
          <w:szCs w:val="20"/>
        </w:rPr>
        <w:t>.</w:t>
      </w:r>
      <w:r w:rsidR="00E601BE">
        <w:rPr>
          <w:sz w:val="20"/>
          <w:szCs w:val="20"/>
        </w:rPr>
        <w:t>201</w:t>
      </w:r>
      <w:r w:rsidR="00DC1314">
        <w:rPr>
          <w:sz w:val="20"/>
          <w:szCs w:val="20"/>
        </w:rPr>
        <w:t>8</w:t>
      </w:r>
    </w:p>
    <w:p w:rsidR="008A2625" w:rsidRDefault="008A2625" w:rsidP="008E4C7B">
      <w:pPr>
        <w:pStyle w:val="a4"/>
        <w:jc w:val="both"/>
      </w:pPr>
      <w:r w:rsidRPr="008E1845">
        <w:rPr>
          <w:b/>
        </w:rPr>
        <w:t>Год постройки</w:t>
      </w:r>
      <w:r>
        <w:t xml:space="preserve"> 201</w:t>
      </w:r>
      <w:r w:rsidR="00DC1314">
        <w:t>8</w:t>
      </w:r>
      <w:r>
        <w:t xml:space="preserve"> год</w:t>
      </w:r>
    </w:p>
    <w:p w:rsidR="0085060D" w:rsidRDefault="002060E7" w:rsidP="008E4C7B">
      <w:pPr>
        <w:pStyle w:val="a4"/>
        <w:jc w:val="both"/>
      </w:pPr>
      <w:r w:rsidRPr="008E1845">
        <w:rPr>
          <w:b/>
        </w:rPr>
        <w:t>Серия и тип постройки</w:t>
      </w:r>
      <w:r>
        <w:t xml:space="preserve"> </w:t>
      </w:r>
      <w:r w:rsidRPr="009E7D72">
        <w:t xml:space="preserve">– индивидуальный проект </w:t>
      </w:r>
      <w:r w:rsidR="00D959F1">
        <w:t>47</w:t>
      </w:r>
      <w:r w:rsidR="009E7D72" w:rsidRPr="009E7D72">
        <w:t>.0.00-20</w:t>
      </w:r>
      <w:r w:rsidR="00182AC1" w:rsidRPr="009E7D72">
        <w:t>-</w:t>
      </w:r>
      <w:r w:rsidR="00DE4DD6" w:rsidRPr="009E7D72">
        <w:t>ГП</w:t>
      </w:r>
    </w:p>
    <w:p w:rsidR="00EB66CB" w:rsidRDefault="00EB66CB" w:rsidP="007C127B">
      <w:pPr>
        <w:pStyle w:val="a4"/>
        <w:jc w:val="both"/>
      </w:pPr>
      <w:r w:rsidRPr="008E1845">
        <w:rPr>
          <w:b/>
        </w:rPr>
        <w:t>Кадастровый номер МКД</w:t>
      </w:r>
      <w:r>
        <w:t xml:space="preserve"> –</w:t>
      </w:r>
      <w:r w:rsidR="00BE7321">
        <w:t xml:space="preserve"> 56:44:0239001:</w:t>
      </w:r>
      <w:r w:rsidR="00D959F1">
        <w:t>18803</w:t>
      </w:r>
      <w:r w:rsidR="00BE7321">
        <w:t>; 56:44:0239001:1</w:t>
      </w:r>
      <w:r w:rsidR="00DC1314">
        <w:t>8</w:t>
      </w:r>
      <w:r w:rsidR="00D959F1">
        <w:t>635</w:t>
      </w:r>
    </w:p>
    <w:p w:rsidR="00EB66CB" w:rsidRPr="00604CE7" w:rsidRDefault="00EB66CB" w:rsidP="008E4C7B">
      <w:pPr>
        <w:pStyle w:val="a4"/>
        <w:jc w:val="both"/>
      </w:pPr>
      <w:r w:rsidRPr="008E1845">
        <w:rPr>
          <w:b/>
        </w:rPr>
        <w:t>Кадастровый номер участка</w:t>
      </w:r>
      <w:r>
        <w:t xml:space="preserve"> – </w:t>
      </w:r>
      <w:r w:rsidR="00E601BE">
        <w:t>56</w:t>
      </w:r>
      <w:r w:rsidR="00703ACC">
        <w:t>:44:0239001:1</w:t>
      </w:r>
      <w:r w:rsidR="00DC1314">
        <w:t>648</w:t>
      </w:r>
      <w:r w:rsidR="00D959F1">
        <w:t>6</w:t>
      </w:r>
    </w:p>
    <w:p w:rsidR="00EB66CB" w:rsidRPr="00E633D3" w:rsidRDefault="00EB66CB" w:rsidP="008E4C7B">
      <w:pPr>
        <w:pStyle w:val="a4"/>
        <w:jc w:val="both"/>
      </w:pPr>
      <w:r w:rsidRPr="008E1845">
        <w:rPr>
          <w:b/>
        </w:rPr>
        <w:t>Общая площадь участка</w:t>
      </w:r>
      <w:r>
        <w:t xml:space="preserve"> –</w:t>
      </w:r>
      <w:r w:rsidR="00604CE7">
        <w:t xml:space="preserve"> </w:t>
      </w:r>
      <w:r w:rsidR="006537C7" w:rsidRPr="006537C7">
        <w:t>6839</w:t>
      </w:r>
      <w:r w:rsidR="00E601BE" w:rsidRPr="006537C7">
        <w:t xml:space="preserve"> </w:t>
      </w:r>
      <w:r w:rsidRPr="006537C7">
        <w:t>м2, в т.ч. площадь застройки</w:t>
      </w:r>
      <w:r w:rsidR="00E601BE" w:rsidRPr="006537C7">
        <w:t xml:space="preserve"> </w:t>
      </w:r>
      <w:r w:rsidR="00786A11">
        <w:t>1067</w:t>
      </w:r>
      <w:r w:rsidR="006537C7" w:rsidRPr="006537C7">
        <w:t>,</w:t>
      </w:r>
      <w:r w:rsidR="00786A11">
        <w:t>1</w:t>
      </w:r>
      <w:r w:rsidR="00E633D3" w:rsidRPr="006537C7">
        <w:t xml:space="preserve"> </w:t>
      </w:r>
      <w:r w:rsidR="000B5765" w:rsidRPr="006537C7">
        <w:t>м</w:t>
      </w:r>
      <w:r w:rsidRPr="006537C7">
        <w:t>2, площадь придомовой территории –</w:t>
      </w:r>
      <w:r w:rsidR="00786A11">
        <w:t>5771,9</w:t>
      </w:r>
      <w:r w:rsidRPr="006537C7">
        <w:t>м2.</w:t>
      </w:r>
      <w:r w:rsidRPr="00E633D3">
        <w:t xml:space="preserve">                    </w:t>
      </w:r>
    </w:p>
    <w:p w:rsidR="009C6658" w:rsidRPr="006537C7" w:rsidRDefault="00904E92" w:rsidP="008E4C7B">
      <w:pPr>
        <w:pStyle w:val="a4"/>
        <w:jc w:val="both"/>
        <w:rPr>
          <w:highlight w:val="yellow"/>
        </w:rPr>
      </w:pPr>
      <w:r w:rsidRPr="00E633D3">
        <w:t> </w:t>
      </w:r>
      <w:r w:rsidR="009C6658" w:rsidRPr="00E633D3">
        <w:rPr>
          <w:b/>
        </w:rPr>
        <w:t>Общая площадь</w:t>
      </w:r>
      <w:r w:rsidR="00EB66CB" w:rsidRPr="00E633D3">
        <w:rPr>
          <w:b/>
        </w:rPr>
        <w:t xml:space="preserve"> МКД</w:t>
      </w:r>
      <w:r w:rsidR="009C6658" w:rsidRPr="00E633D3">
        <w:rPr>
          <w:b/>
        </w:rPr>
        <w:t xml:space="preserve"> </w:t>
      </w:r>
      <w:r w:rsidR="009944BB" w:rsidRPr="00E633D3">
        <w:rPr>
          <w:b/>
        </w:rPr>
        <w:t>–</w:t>
      </w:r>
      <w:r w:rsidR="00E601BE" w:rsidRPr="00E633D3">
        <w:rPr>
          <w:b/>
        </w:rPr>
        <w:t xml:space="preserve"> </w:t>
      </w:r>
      <w:r w:rsidR="00AE2EDB" w:rsidRPr="00AE2EDB">
        <w:t>10807,7</w:t>
      </w:r>
      <w:r w:rsidR="002060E7" w:rsidRPr="00AE2EDB">
        <w:t>м2;</w:t>
      </w:r>
    </w:p>
    <w:p w:rsidR="00EB66CB" w:rsidRPr="00AE2EDB" w:rsidRDefault="0052609B" w:rsidP="008E4C7B">
      <w:pPr>
        <w:pStyle w:val="a4"/>
        <w:jc w:val="both"/>
      </w:pPr>
      <w:r w:rsidRPr="00AE2EDB">
        <w:t xml:space="preserve"> В т.ч.- </w:t>
      </w:r>
      <w:r w:rsidRPr="00AE2EDB">
        <w:rPr>
          <w:b/>
        </w:rPr>
        <w:t>п</w:t>
      </w:r>
      <w:r w:rsidR="00EB66CB" w:rsidRPr="00AE2EDB">
        <w:rPr>
          <w:b/>
        </w:rPr>
        <w:t>лощадь жилых помещений</w:t>
      </w:r>
      <w:r w:rsidR="00EB66CB" w:rsidRPr="00AE2EDB">
        <w:t xml:space="preserve">  - </w:t>
      </w:r>
      <w:r w:rsidR="00AE2EDB" w:rsidRPr="00AE2EDB">
        <w:t>9356,7</w:t>
      </w:r>
      <w:r w:rsidR="00EB66CB" w:rsidRPr="00AE2EDB">
        <w:t>м2;</w:t>
      </w:r>
    </w:p>
    <w:p w:rsidR="00EB66CB" w:rsidRPr="00AE2EDB" w:rsidRDefault="0052609B" w:rsidP="008E4C7B">
      <w:pPr>
        <w:pStyle w:val="a4"/>
        <w:jc w:val="both"/>
      </w:pPr>
      <w:r w:rsidRPr="00AE2EDB">
        <w:t xml:space="preserve">           - </w:t>
      </w:r>
      <w:r w:rsidRPr="00AE2EDB">
        <w:rPr>
          <w:b/>
        </w:rPr>
        <w:t>п</w:t>
      </w:r>
      <w:r w:rsidR="00EB66CB" w:rsidRPr="00AE2EDB">
        <w:rPr>
          <w:b/>
        </w:rPr>
        <w:t>лощадь нежилых помещений</w:t>
      </w:r>
      <w:r w:rsidR="00EB66CB" w:rsidRPr="00AE2EDB">
        <w:t xml:space="preserve"> – </w:t>
      </w:r>
      <w:r w:rsidR="00BE7321" w:rsidRPr="00AE2EDB">
        <w:t>0</w:t>
      </w:r>
      <w:r w:rsidR="00604CE7" w:rsidRPr="00AE2EDB">
        <w:t xml:space="preserve"> </w:t>
      </w:r>
      <w:r w:rsidR="00E601BE" w:rsidRPr="00AE2EDB">
        <w:t>м2;</w:t>
      </w:r>
    </w:p>
    <w:p w:rsidR="008A2625" w:rsidRPr="00AE2EDB" w:rsidRDefault="0052609B" w:rsidP="0079029D">
      <w:pPr>
        <w:pStyle w:val="a4"/>
        <w:jc w:val="both"/>
      </w:pPr>
      <w:r w:rsidRPr="00AE2EDB">
        <w:t xml:space="preserve">           -</w:t>
      </w:r>
      <w:r w:rsidR="008E1845" w:rsidRPr="00AE2EDB">
        <w:rPr>
          <w:b/>
        </w:rPr>
        <w:t>площадь помещений, входящих в состав общего имущества</w:t>
      </w:r>
      <w:r w:rsidR="00604CE7" w:rsidRPr="00AE2EDB">
        <w:rPr>
          <w:b/>
        </w:rPr>
        <w:t xml:space="preserve"> </w:t>
      </w:r>
      <w:r w:rsidRPr="00AE2EDB">
        <w:t xml:space="preserve">– </w:t>
      </w:r>
      <w:r w:rsidR="00AE2EDB" w:rsidRPr="00AE2EDB">
        <w:t>6781,6</w:t>
      </w:r>
      <w:r w:rsidRPr="00AE2EDB">
        <w:t>м2</w:t>
      </w:r>
      <w:r w:rsidR="00297BFB" w:rsidRPr="00AE2EDB">
        <w:t>;</w:t>
      </w:r>
    </w:p>
    <w:p w:rsidR="00297BFB" w:rsidRPr="00604CE7" w:rsidRDefault="00297BFB" w:rsidP="0079029D">
      <w:pPr>
        <w:pStyle w:val="a4"/>
        <w:jc w:val="both"/>
        <w:rPr>
          <w:b/>
        </w:rPr>
      </w:pPr>
      <w:r w:rsidRPr="00AE2EDB">
        <w:rPr>
          <w:b/>
        </w:rPr>
        <w:t>Общая площадь подвала –</w:t>
      </w:r>
      <w:r w:rsidR="007B1284" w:rsidRPr="00AE2EDB">
        <w:rPr>
          <w:b/>
        </w:rPr>
        <w:t xml:space="preserve"> </w:t>
      </w:r>
      <w:r w:rsidR="00AE2EDB" w:rsidRPr="00AE2EDB">
        <w:t>779,9</w:t>
      </w:r>
      <w:r w:rsidR="00AE2EDB">
        <w:t xml:space="preserve"> </w:t>
      </w:r>
      <w:r w:rsidRPr="00AE2EDB">
        <w:t>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Pr="00BE7321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BE7321">
        <w:rPr>
          <w:rFonts w:ascii="Cambria" w:hAnsi="Cambria"/>
          <w:sz w:val="20"/>
          <w:szCs w:val="20"/>
        </w:rPr>
        <w:t>Система водоснабжения</w:t>
      </w:r>
      <w:r w:rsidR="00C21FE2" w:rsidRPr="00BE7321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</w:t>
      </w:r>
      <w:r w:rsidR="000179E3" w:rsidRPr="006645EF">
        <w:rPr>
          <w:rFonts w:ascii="Cambria" w:hAnsi="Cambria"/>
          <w:sz w:val="20"/>
          <w:szCs w:val="20"/>
        </w:rPr>
        <w:t>одним вводом</w:t>
      </w:r>
      <w:r w:rsidR="00C21FE2" w:rsidRPr="00BE7321">
        <w:rPr>
          <w:rFonts w:ascii="Cambria" w:hAnsi="Cambria"/>
          <w:sz w:val="20"/>
          <w:szCs w:val="20"/>
        </w:rPr>
        <w:t xml:space="preserve">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 w:rsidRPr="00BE7321"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</w:t>
      </w:r>
      <w:r w:rsidR="000B576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143AE1" w:rsidRDefault="00656A5B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  <w:r w:rsidR="00EE136F">
        <w:rPr>
          <w:rFonts w:ascii="Cambria" w:hAnsi="Cambria"/>
          <w:sz w:val="20"/>
          <w:szCs w:val="20"/>
        </w:rPr>
        <w:t xml:space="preserve"> Регулирование  теплоотдачи нагревательных приборов производится терморегуляторами. Регулирующие клапаны монтируются на подающих подводках к радиатору. На обратных подводках установлены шаровые краны. Выпуск воздуха из системы отопления осуществляется через ручные воздухоотводчики, установленные в верхних пробках нагревательных приборов.</w:t>
      </w:r>
      <w:r w:rsidR="00143AE1" w:rsidRPr="00143AE1">
        <w:rPr>
          <w:rFonts w:ascii="Cambria" w:hAnsi="Cambria"/>
          <w:sz w:val="20"/>
          <w:szCs w:val="20"/>
        </w:rPr>
        <w:t xml:space="preserve"> </w:t>
      </w:r>
    </w:p>
    <w:p w:rsidR="00143AE1" w:rsidRPr="00D91DA6" w:rsidRDefault="00143AE1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Учет потребляемого газа ведется по показаниям коллективного прибора учета, установленного в помещении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  <w:r w:rsidR="00EE136F">
        <w:rPr>
          <w:rFonts w:ascii="Cambria" w:hAnsi="Cambria"/>
          <w:sz w:val="20"/>
          <w:szCs w:val="20"/>
        </w:rPr>
        <w:t>.</w:t>
      </w: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EE136F">
        <w:rPr>
          <w:rFonts w:ascii="Cambria" w:hAnsi="Cambria"/>
          <w:b/>
          <w:sz w:val="20"/>
          <w:szCs w:val="20"/>
        </w:rPr>
        <w:t>Газоснабжение</w:t>
      </w:r>
      <w:r w:rsidR="00D91DA6">
        <w:rPr>
          <w:rFonts w:ascii="Cambria" w:hAnsi="Cambria"/>
          <w:b/>
          <w:sz w:val="20"/>
          <w:szCs w:val="20"/>
        </w:rPr>
        <w:t xml:space="preserve"> – </w:t>
      </w:r>
      <w:r w:rsidR="00D91DA6" w:rsidRPr="00D91DA6">
        <w:rPr>
          <w:rFonts w:ascii="Cambria" w:hAnsi="Cambria"/>
          <w:sz w:val="20"/>
          <w:szCs w:val="20"/>
        </w:rPr>
        <w:t>предусмотрено от существующего подземного стального газопровода высокого давления ф</w:t>
      </w:r>
      <w:r w:rsidR="00D91DA6">
        <w:rPr>
          <w:rFonts w:ascii="Cambria" w:hAnsi="Cambria"/>
          <w:sz w:val="20"/>
          <w:szCs w:val="20"/>
        </w:rPr>
        <w:t>630мм, проложенного  по пр.Гагарина.</w:t>
      </w:r>
    </w:p>
    <w:p w:rsidR="00392D5E" w:rsidRPr="00D91DA6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="00901FE3">
        <w:rPr>
          <w:rFonts w:ascii="Cambria" w:hAnsi="Cambria"/>
          <w:sz w:val="20"/>
          <w:szCs w:val="20"/>
        </w:rPr>
        <w:t xml:space="preserve">. </w:t>
      </w:r>
      <w:r w:rsidR="00901FE3" w:rsidRPr="00901FE3">
        <w:rPr>
          <w:rFonts w:ascii="Cambria" w:hAnsi="Cambria"/>
          <w:b/>
          <w:sz w:val="20"/>
          <w:szCs w:val="20"/>
        </w:rPr>
        <w:t>Электроснабжение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>
        <w:rPr>
          <w:rFonts w:ascii="Cambria" w:hAnsi="Cambria"/>
          <w:sz w:val="20"/>
          <w:szCs w:val="20"/>
        </w:rPr>
        <w:t>–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 w:rsidRPr="00901FE3">
        <w:rPr>
          <w:rFonts w:ascii="Cambria" w:hAnsi="Cambria"/>
          <w:sz w:val="20"/>
          <w:szCs w:val="20"/>
        </w:rPr>
        <w:t>централизованное.</w:t>
      </w:r>
      <w:r w:rsidR="00901FE3">
        <w:rPr>
          <w:rFonts w:ascii="Cambria" w:hAnsi="Cambria"/>
          <w:sz w:val="20"/>
          <w:szCs w:val="20"/>
        </w:rPr>
        <w:t xml:space="preserve"> 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электроэнергии имеется </w:t>
      </w:r>
      <w:r w:rsidR="008B7F60">
        <w:rPr>
          <w:rFonts w:ascii="Cambria" w:hAnsi="Cambria"/>
          <w:sz w:val="20"/>
          <w:szCs w:val="20"/>
        </w:rPr>
        <w:t>6</w:t>
      </w:r>
      <w:r>
        <w:rPr>
          <w:rFonts w:ascii="Cambria" w:hAnsi="Cambria"/>
          <w:sz w:val="20"/>
          <w:szCs w:val="20"/>
        </w:rPr>
        <w:t xml:space="preserve">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="00392D5E">
        <w:rPr>
          <w:rFonts w:ascii="Cambria" w:hAnsi="Cambria"/>
          <w:sz w:val="20"/>
          <w:szCs w:val="20"/>
        </w:rPr>
        <w:t xml:space="preserve">. </w:t>
      </w:r>
      <w:r w:rsidR="00392D5E">
        <w:rPr>
          <w:rFonts w:ascii="Cambria" w:hAnsi="Cambria"/>
          <w:b/>
          <w:sz w:val="20"/>
          <w:szCs w:val="20"/>
        </w:rPr>
        <w:t xml:space="preserve">Вентиляция </w:t>
      </w:r>
      <w:r w:rsidR="00392D5E" w:rsidRPr="00392D5E">
        <w:rPr>
          <w:rFonts w:ascii="Cambria" w:hAnsi="Cambria"/>
          <w:sz w:val="20"/>
          <w:szCs w:val="20"/>
        </w:rPr>
        <w:t xml:space="preserve">жилого дома </w:t>
      </w:r>
      <w:r w:rsidR="00392D5E"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07BFB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7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BE4F1E"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="00BE4F1E" w:rsidRPr="00BE4F1E">
        <w:rPr>
          <w:rFonts w:ascii="Cambria" w:hAnsi="Cambria"/>
          <w:sz w:val="20"/>
          <w:szCs w:val="20"/>
        </w:rPr>
        <w:t xml:space="preserve">– </w:t>
      </w:r>
      <w:r w:rsidR="00BE4F1E">
        <w:rPr>
          <w:rFonts w:ascii="Cambria" w:hAnsi="Cambria"/>
          <w:sz w:val="20"/>
          <w:szCs w:val="20"/>
        </w:rPr>
        <w:t xml:space="preserve">каждый подъезд </w:t>
      </w:r>
      <w:r w:rsidR="00BE4F1E" w:rsidRPr="00BE4F1E">
        <w:rPr>
          <w:rFonts w:ascii="Cambria" w:hAnsi="Cambria"/>
          <w:sz w:val="20"/>
          <w:szCs w:val="20"/>
        </w:rPr>
        <w:t xml:space="preserve"> </w:t>
      </w:r>
      <w:r w:rsidR="00BE4F1E">
        <w:rPr>
          <w:rFonts w:ascii="Cambria" w:hAnsi="Cambria"/>
          <w:sz w:val="20"/>
          <w:szCs w:val="20"/>
        </w:rPr>
        <w:t xml:space="preserve">оборудован лифтами с противопожарными дверями, грузоподъемностью 630 кг., 400 кг. </w:t>
      </w:r>
    </w:p>
    <w:p w:rsidR="00604CE7" w:rsidRDefault="00604CE7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8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B51959" w:rsidRDefault="00B51959" w:rsidP="00B5195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5" w:type="dxa"/>
        <w:tblInd w:w="103" w:type="dxa"/>
        <w:tblLayout w:type="fixed"/>
        <w:tblLook w:val="04A0"/>
      </w:tblPr>
      <w:tblGrid>
        <w:gridCol w:w="3582"/>
        <w:gridCol w:w="3230"/>
        <w:gridCol w:w="851"/>
        <w:gridCol w:w="3242"/>
      </w:tblGrid>
      <w:tr w:rsidR="00B51959" w:rsidTr="00B51959">
        <w:trPr>
          <w:trHeight w:val="10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 w:rsidP="00A3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 и покрытия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плиты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Кровля, крыша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рулонных материалов (руберойд), совмещенная, плоская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Цементные,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6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P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оконные, дверные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стеклопакеты,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P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внутренняя отделка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Санитарно-техническое устройство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Отопление, холодное и горячее водоснабжение, канализация – центральные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Электротехнические устройства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Электроснабжение – центральное, лифты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бетонная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B51959" w:rsidRDefault="00B51959" w:rsidP="00B51959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p w:rsidR="00AF3940" w:rsidRPr="00AF3940" w:rsidRDefault="00AF3940" w:rsidP="00B51959">
      <w:pPr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B5B" w:rsidRDefault="005A3B5B" w:rsidP="00BE4F1E">
      <w:pPr>
        <w:spacing w:after="0" w:line="240" w:lineRule="auto"/>
      </w:pPr>
      <w:r>
        <w:separator/>
      </w:r>
    </w:p>
  </w:endnote>
  <w:endnote w:type="continuationSeparator" w:id="1">
    <w:p w:rsidR="005A3B5B" w:rsidRDefault="005A3B5B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B5B" w:rsidRDefault="005A3B5B" w:rsidP="00BE4F1E">
      <w:pPr>
        <w:spacing w:after="0" w:line="240" w:lineRule="auto"/>
      </w:pPr>
      <w:r>
        <w:separator/>
      </w:r>
    </w:p>
  </w:footnote>
  <w:footnote w:type="continuationSeparator" w:id="1">
    <w:p w:rsidR="005A3B5B" w:rsidRDefault="005A3B5B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179E3"/>
    <w:rsid w:val="00071D89"/>
    <w:rsid w:val="00080703"/>
    <w:rsid w:val="000A6809"/>
    <w:rsid w:val="000B5765"/>
    <w:rsid w:val="000F5D42"/>
    <w:rsid w:val="00110FC7"/>
    <w:rsid w:val="001111B9"/>
    <w:rsid w:val="00143AE1"/>
    <w:rsid w:val="00153845"/>
    <w:rsid w:val="00155BAB"/>
    <w:rsid w:val="00165ABB"/>
    <w:rsid w:val="00166241"/>
    <w:rsid w:val="00182AC1"/>
    <w:rsid w:val="001A0652"/>
    <w:rsid w:val="001B1F48"/>
    <w:rsid w:val="001B2648"/>
    <w:rsid w:val="001C1037"/>
    <w:rsid w:val="002060E7"/>
    <w:rsid w:val="002605E7"/>
    <w:rsid w:val="00262457"/>
    <w:rsid w:val="00295CB9"/>
    <w:rsid w:val="00297BFB"/>
    <w:rsid w:val="002B5277"/>
    <w:rsid w:val="002C1504"/>
    <w:rsid w:val="002C5FE6"/>
    <w:rsid w:val="00306356"/>
    <w:rsid w:val="00315100"/>
    <w:rsid w:val="0031765C"/>
    <w:rsid w:val="00346229"/>
    <w:rsid w:val="003664BB"/>
    <w:rsid w:val="003675DB"/>
    <w:rsid w:val="00370BAC"/>
    <w:rsid w:val="00373B3A"/>
    <w:rsid w:val="003753CE"/>
    <w:rsid w:val="00390EBF"/>
    <w:rsid w:val="00392D5E"/>
    <w:rsid w:val="003A1AA8"/>
    <w:rsid w:val="003A2283"/>
    <w:rsid w:val="003A2793"/>
    <w:rsid w:val="003A7F98"/>
    <w:rsid w:val="003B76CC"/>
    <w:rsid w:val="003D6A50"/>
    <w:rsid w:val="00420690"/>
    <w:rsid w:val="00442842"/>
    <w:rsid w:val="004666BC"/>
    <w:rsid w:val="004B5CA5"/>
    <w:rsid w:val="0052609B"/>
    <w:rsid w:val="005279D1"/>
    <w:rsid w:val="0055233F"/>
    <w:rsid w:val="0056302F"/>
    <w:rsid w:val="005771DA"/>
    <w:rsid w:val="005A3B5B"/>
    <w:rsid w:val="005D1B0F"/>
    <w:rsid w:val="005D268B"/>
    <w:rsid w:val="005F1D4A"/>
    <w:rsid w:val="00604CE7"/>
    <w:rsid w:val="00615E58"/>
    <w:rsid w:val="00634F61"/>
    <w:rsid w:val="006537C7"/>
    <w:rsid w:val="00656A5B"/>
    <w:rsid w:val="006645EF"/>
    <w:rsid w:val="00691F9B"/>
    <w:rsid w:val="006959D3"/>
    <w:rsid w:val="006A4E9B"/>
    <w:rsid w:val="006C3CB1"/>
    <w:rsid w:val="006C53ED"/>
    <w:rsid w:val="00703ACC"/>
    <w:rsid w:val="00715FA9"/>
    <w:rsid w:val="007206A5"/>
    <w:rsid w:val="00751535"/>
    <w:rsid w:val="00780166"/>
    <w:rsid w:val="00786A11"/>
    <w:rsid w:val="0079029D"/>
    <w:rsid w:val="007B1284"/>
    <w:rsid w:val="007C127B"/>
    <w:rsid w:val="007C2F16"/>
    <w:rsid w:val="007C7ADE"/>
    <w:rsid w:val="007D5DCF"/>
    <w:rsid w:val="007F4785"/>
    <w:rsid w:val="00801D48"/>
    <w:rsid w:val="0081056F"/>
    <w:rsid w:val="00826620"/>
    <w:rsid w:val="00836B26"/>
    <w:rsid w:val="0085060D"/>
    <w:rsid w:val="00866CF2"/>
    <w:rsid w:val="008A2625"/>
    <w:rsid w:val="008B7F60"/>
    <w:rsid w:val="008D63C7"/>
    <w:rsid w:val="008E1449"/>
    <w:rsid w:val="008E1845"/>
    <w:rsid w:val="008E4C7B"/>
    <w:rsid w:val="008F0F5C"/>
    <w:rsid w:val="00900CA9"/>
    <w:rsid w:val="00901FE3"/>
    <w:rsid w:val="00904E92"/>
    <w:rsid w:val="00923BDD"/>
    <w:rsid w:val="00943813"/>
    <w:rsid w:val="00964E86"/>
    <w:rsid w:val="009819E8"/>
    <w:rsid w:val="009826F5"/>
    <w:rsid w:val="00984235"/>
    <w:rsid w:val="0098650E"/>
    <w:rsid w:val="009944BB"/>
    <w:rsid w:val="009A058E"/>
    <w:rsid w:val="009A74A6"/>
    <w:rsid w:val="009C6658"/>
    <w:rsid w:val="009E5050"/>
    <w:rsid w:val="009E61E6"/>
    <w:rsid w:val="009E7D72"/>
    <w:rsid w:val="00A31D69"/>
    <w:rsid w:val="00A415B8"/>
    <w:rsid w:val="00A42AD2"/>
    <w:rsid w:val="00A51721"/>
    <w:rsid w:val="00A56D9D"/>
    <w:rsid w:val="00A626ED"/>
    <w:rsid w:val="00AA3480"/>
    <w:rsid w:val="00AE2EDB"/>
    <w:rsid w:val="00AF3940"/>
    <w:rsid w:val="00AF51D2"/>
    <w:rsid w:val="00B07BFB"/>
    <w:rsid w:val="00B20552"/>
    <w:rsid w:val="00B51959"/>
    <w:rsid w:val="00BA58CE"/>
    <w:rsid w:val="00BE2882"/>
    <w:rsid w:val="00BE4F1E"/>
    <w:rsid w:val="00BE7321"/>
    <w:rsid w:val="00BF396A"/>
    <w:rsid w:val="00C1438D"/>
    <w:rsid w:val="00C148A6"/>
    <w:rsid w:val="00C21FE2"/>
    <w:rsid w:val="00C41CA6"/>
    <w:rsid w:val="00C4402D"/>
    <w:rsid w:val="00C867F8"/>
    <w:rsid w:val="00CC27BD"/>
    <w:rsid w:val="00CF26EA"/>
    <w:rsid w:val="00D119BE"/>
    <w:rsid w:val="00D91DA6"/>
    <w:rsid w:val="00D959F1"/>
    <w:rsid w:val="00DB47EC"/>
    <w:rsid w:val="00DC1314"/>
    <w:rsid w:val="00DD07D2"/>
    <w:rsid w:val="00DD255C"/>
    <w:rsid w:val="00DE4DD6"/>
    <w:rsid w:val="00E00A35"/>
    <w:rsid w:val="00E272E1"/>
    <w:rsid w:val="00E601BE"/>
    <w:rsid w:val="00E633D3"/>
    <w:rsid w:val="00E92572"/>
    <w:rsid w:val="00EA1283"/>
    <w:rsid w:val="00EA1740"/>
    <w:rsid w:val="00EB66CB"/>
    <w:rsid w:val="00EC1E3B"/>
    <w:rsid w:val="00ED41BA"/>
    <w:rsid w:val="00ED4491"/>
    <w:rsid w:val="00EE136F"/>
    <w:rsid w:val="00F0352D"/>
    <w:rsid w:val="00F11AE5"/>
    <w:rsid w:val="00F5677B"/>
    <w:rsid w:val="00F60F1C"/>
    <w:rsid w:val="00F62E39"/>
    <w:rsid w:val="00F67DA5"/>
    <w:rsid w:val="00F83CD2"/>
    <w:rsid w:val="00F86770"/>
    <w:rsid w:val="00FD5772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54</cp:revision>
  <cp:lastPrinted>2015-08-03T12:30:00Z</cp:lastPrinted>
  <dcterms:created xsi:type="dcterms:W3CDTF">2014-12-15T06:27:00Z</dcterms:created>
  <dcterms:modified xsi:type="dcterms:W3CDTF">2018-11-15T09:42:00Z</dcterms:modified>
</cp:coreProperties>
</file>